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9BB" w:rsidRDefault="008C46D4">
      <w:pPr>
        <w:spacing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2A2F35"/>
          <w:sz w:val="32"/>
          <w:szCs w:val="32"/>
        </w:rPr>
        <w:t>Оплата за ТКО: что важно знать, чтобы не платить пени</w:t>
      </w:r>
    </w:p>
    <w:p w:rsidR="00C739BB" w:rsidRDefault="00C739BB">
      <w:pPr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C739BB" w:rsidRDefault="001C088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24</w:t>
      </w:r>
      <w:r w:rsidR="008C46D4">
        <w:rPr>
          <w:rFonts w:ascii="Times New Roman" w:eastAsia="Times New Roman" w:hAnsi="Times New Roman" w:cs="Times New Roman"/>
          <w:sz w:val="24"/>
          <w:szCs w:val="24"/>
        </w:rPr>
        <w:t>.10.2023</w:t>
      </w:r>
      <w:bookmarkStart w:id="0" w:name="_GoBack"/>
      <w:bookmarkEnd w:id="0"/>
    </w:p>
    <w:p w:rsidR="00C739BB" w:rsidRDefault="00C739BB">
      <w:pPr>
        <w:spacing w:line="240" w:lineRule="auto"/>
        <w:rPr>
          <w:rFonts w:ascii="Roboto" w:eastAsia="Roboto" w:hAnsi="Roboto" w:cs="Roboto"/>
          <w:b/>
          <w:color w:val="444746"/>
          <w:sz w:val="21"/>
          <w:szCs w:val="21"/>
          <w:highlight w:val="yellow"/>
        </w:rPr>
      </w:pPr>
    </w:p>
    <w:p w:rsidR="00C739BB" w:rsidRDefault="008C46D4">
      <w:pPr>
        <w:spacing w:line="240" w:lineRule="auto"/>
        <w:rPr>
          <w:rFonts w:ascii="Times New Roman" w:eastAsia="Times New Roman" w:hAnsi="Times New Roman" w:cs="Times New Roman"/>
          <w:b/>
          <w:color w:val="2A2F3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A2F35"/>
          <w:sz w:val="24"/>
          <w:szCs w:val="24"/>
        </w:rPr>
        <w:t>Оплата за вывоз ТКО - это обязательный коммунальный платеж, так как услуга по обращению с ТКО - неотъемлемая часть реализации “мусорной” реформы. В зоне “юг” Иркутской области такую услугу всем жителям оказывает региональный оператор “РТ-НЭО Иркутск”. Зада</w:t>
      </w:r>
      <w:r>
        <w:rPr>
          <w:rFonts w:ascii="Times New Roman" w:eastAsia="Times New Roman" w:hAnsi="Times New Roman" w:cs="Times New Roman"/>
          <w:b/>
          <w:color w:val="2A2F35"/>
          <w:sz w:val="24"/>
          <w:szCs w:val="24"/>
        </w:rPr>
        <w:t xml:space="preserve">ча компании - не просто транспортировать отходы на полигоны, но и снижать воздействие человеческой жизнедеятельности на окружающую среду. </w:t>
      </w:r>
    </w:p>
    <w:p w:rsidR="00C739BB" w:rsidRDefault="00C739BB">
      <w:pPr>
        <w:spacing w:line="240" w:lineRule="auto"/>
        <w:rPr>
          <w:rFonts w:ascii="Times New Roman" w:eastAsia="Times New Roman" w:hAnsi="Times New Roman" w:cs="Times New Roman"/>
          <w:b/>
          <w:color w:val="2A2F35"/>
          <w:sz w:val="24"/>
          <w:szCs w:val="24"/>
        </w:rPr>
      </w:pPr>
    </w:p>
    <w:p w:rsidR="00C739BB" w:rsidRDefault="008C46D4">
      <w:pPr>
        <w:spacing w:line="240" w:lineRule="auto"/>
        <w:rPr>
          <w:rFonts w:ascii="Times New Roman" w:eastAsia="Times New Roman" w:hAnsi="Times New Roman" w:cs="Times New Roman"/>
          <w:color w:val="2A2F35"/>
          <w:sz w:val="24"/>
          <w:szCs w:val="24"/>
        </w:rPr>
      </w:pPr>
      <w:r>
        <w:rPr>
          <w:rFonts w:ascii="Times New Roman" w:eastAsia="Times New Roman" w:hAnsi="Times New Roman" w:cs="Times New Roman"/>
          <w:color w:val="2A2F35"/>
          <w:sz w:val="24"/>
          <w:szCs w:val="24"/>
        </w:rPr>
        <w:t>До начала “мусорной” реформы системный вывоз мусора осуществлялся только в крупных населенных пунктах и городах. Сег</w:t>
      </w:r>
      <w:r>
        <w:rPr>
          <w:rFonts w:ascii="Times New Roman" w:eastAsia="Times New Roman" w:hAnsi="Times New Roman" w:cs="Times New Roman"/>
          <w:color w:val="2A2F35"/>
          <w:sz w:val="24"/>
          <w:szCs w:val="24"/>
        </w:rPr>
        <w:t>одня такая работа на юге Иркутской области организована и регулярно выполняется по всей зоне обслуживания. Одним из результатов деятельности регоператора стало и то, что идет планомерное сокращение несанкционированных свалок, а ТКО и КГО вывозятся только н</w:t>
      </w:r>
      <w:r>
        <w:rPr>
          <w:rFonts w:ascii="Times New Roman" w:eastAsia="Times New Roman" w:hAnsi="Times New Roman" w:cs="Times New Roman"/>
          <w:color w:val="2A2F35"/>
          <w:sz w:val="24"/>
          <w:szCs w:val="24"/>
        </w:rPr>
        <w:t>а санкционированные полигоны и только региональным оператором.</w:t>
      </w:r>
    </w:p>
    <w:p w:rsidR="00C739BB" w:rsidRDefault="00C739BB">
      <w:pPr>
        <w:spacing w:line="240" w:lineRule="auto"/>
        <w:rPr>
          <w:rFonts w:ascii="Times New Roman" w:eastAsia="Times New Roman" w:hAnsi="Times New Roman" w:cs="Times New Roman"/>
          <w:color w:val="2A2F35"/>
          <w:sz w:val="24"/>
          <w:szCs w:val="24"/>
        </w:rPr>
      </w:pPr>
    </w:p>
    <w:p w:rsidR="00C739BB" w:rsidRDefault="008C46D4">
      <w:pPr>
        <w:spacing w:line="240" w:lineRule="auto"/>
        <w:rPr>
          <w:rFonts w:ascii="Times New Roman" w:eastAsia="Times New Roman" w:hAnsi="Times New Roman" w:cs="Times New Roman"/>
          <w:b/>
          <w:color w:val="2A2F3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A2F35"/>
          <w:sz w:val="24"/>
          <w:szCs w:val="24"/>
        </w:rPr>
        <w:t xml:space="preserve">В чём  суть и польза “мусорной” реформы? </w:t>
      </w:r>
    </w:p>
    <w:p w:rsidR="00C739BB" w:rsidRDefault="008C46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Закон о “мусорной” реформе вступил в силу с января 2019 года. С этого момента государством была поставлена задача о создании в России такой системы по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обращению с отходами, которая позволит сократить их объемы, ликвидировать все несанкционированные свалки, а мусор, образовавшийся в результате человеческой деятельности размещать только в строго определенных местах. Такой подход нацелен на улучшение эколо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гической обстановки, прежде всего. Региональный оператор - это одно из ключевых понятий в проведении реформы, отвечающее за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обращение с отходами. </w:t>
      </w:r>
    </w:p>
    <w:p w:rsidR="00C739BB" w:rsidRDefault="00C739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739BB" w:rsidRDefault="008C46D4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 что отвечает региональный оператор, а кто является собственником контейнерных площадок? </w:t>
      </w:r>
    </w:p>
    <w:p w:rsidR="00C739BB" w:rsidRDefault="008C46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Иркутской области с 2019 года работа по обращению с отходами в зоне “юг” осуществляется “РТ-НЭО Иркутск”. Региональный оператор отвечает за вывоз твёрдых коммунальных отходов (ТКО) и крупногабаритных отходов (КГО) с момента погрузки в мусоровоз до момент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размещения. Именно эти услуги включены в тариф за вывоз ТКО. Создание и содержание контейнерных площадок - это ответственность управляющих организации, ТСЖ, органов местного самоуправления и других юридических лиц, которые являются их собственниками. </w:t>
      </w:r>
    </w:p>
    <w:p w:rsidR="00C739BB" w:rsidRDefault="00C739BB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39BB" w:rsidRDefault="008C46D4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аким образом заключать договор с региональным оператором?</w:t>
      </w:r>
    </w:p>
    <w:p w:rsidR="00C739BB" w:rsidRDefault="008C46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Согласно статье 154 Жилищного Кодекса РФ обращение с ТКО - это обязательная коммунальная услуга. Договор с региональным оператором заключается со всеми собственниками помещений на основании публично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й оферты и не требует двустороннего подписания. С типовой формой этого документа при необходимости можно ознакомиться </w:t>
      </w:r>
      <w:hyperlink r:id="rId7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на сайте регионального оператора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 Лицевой счет для формирован</w:t>
      </w:r>
      <w:r>
        <w:rPr>
          <w:rFonts w:ascii="Times New Roman" w:eastAsia="Times New Roman" w:hAnsi="Times New Roman" w:cs="Times New Roman"/>
          <w:sz w:val="24"/>
          <w:szCs w:val="24"/>
        </w:rPr>
        <w:t>ия квитанций на оплату открывается на основании предоставленных собственниками сведений, эти сведения плательщик вправе изменять или дополнять.</w:t>
      </w:r>
    </w:p>
    <w:p w:rsidR="00C739BB" w:rsidRDefault="00C739BB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39BB" w:rsidRDefault="008C46D4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Может ли человек самостоятельно избавляться от ТКО?</w:t>
      </w:r>
    </w:p>
    <w:p w:rsidR="00C739BB" w:rsidRDefault="008C46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Самостоятельное избавление от мусора не только незаконно, но и опасно. Например, сжигание мусора влечет выделение опасных веществ, которые способны негативно влиять на здоровье человека, а закапывание отходов в почву постепенно делает её непригодной для ве</w:t>
      </w:r>
      <w:r>
        <w:rPr>
          <w:rFonts w:ascii="Times New Roman" w:eastAsia="Times New Roman" w:hAnsi="Times New Roman" w:cs="Times New Roman"/>
          <w:sz w:val="24"/>
          <w:szCs w:val="24"/>
        </w:rPr>
        <w:t>дения хозяйственной деятельности, загрязняет жизненно необходимые ресурсы. Избавляться от ТКО необходимо только установленным законом способом - в контейнеры на контейнерных площадках. Если же, человек сжигает, закапывает отходы, вывозит на несанкционирова</w:t>
      </w:r>
      <w:r>
        <w:rPr>
          <w:rFonts w:ascii="Times New Roman" w:eastAsia="Times New Roman" w:hAnsi="Times New Roman" w:cs="Times New Roman"/>
          <w:sz w:val="24"/>
          <w:szCs w:val="24"/>
        </w:rPr>
        <w:t>нные свалки, то ему придется оплатить и штраф от пяти тысяч рублей. Счета за вывоз ТКО в таких случаях тоже придется оплачивать, потому как регоператор формирует их автоматически, а жители обслуживаемых им территорий - все без исключения пользователи его 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слугой. Не бывает людей, которые ведут свою жизнедеятельность безотходно. </w:t>
      </w:r>
    </w:p>
    <w:p w:rsidR="00C739BB" w:rsidRDefault="00C739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39BB" w:rsidRDefault="008C46D4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Как начисляется плата за обращение с ТКО?</w:t>
      </w:r>
    </w:p>
    <w:p w:rsidR="00C739BB" w:rsidRDefault="008C46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 многих муниципальных образований зоны 2 “Юг” Иркутской области начисление платы за обращение с ТКО производится согласно установленным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тарифам. Первый способ начисления - по квадратным метрам, когда 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highlight w:val="white"/>
        </w:rPr>
        <w:t>норматив делится на количество квадратных метров и плата взимается с их учетом</w:t>
      </w:r>
      <w:r>
        <w:rPr>
          <w:rFonts w:ascii="Times New Roman" w:eastAsia="Times New Roman" w:hAnsi="Times New Roman" w:cs="Times New Roman"/>
          <w:sz w:val="24"/>
          <w:szCs w:val="24"/>
        </w:rPr>
        <w:t>, но также существует способ оплаты по количеству постоянно и временно проживающих. Способ начисления может опреде</w:t>
      </w:r>
      <w:r>
        <w:rPr>
          <w:rFonts w:ascii="Times New Roman" w:eastAsia="Times New Roman" w:hAnsi="Times New Roman" w:cs="Times New Roman"/>
          <w:sz w:val="24"/>
          <w:szCs w:val="24"/>
        </w:rPr>
        <w:t>ляться самими жителями населенных пунктов на уровне местных администраций путем принятия коллективного решения.</w:t>
      </w:r>
    </w:p>
    <w:p w:rsidR="00C739BB" w:rsidRDefault="00C739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39BB" w:rsidRDefault="008C46D4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Что делать, если счета за вывоз ТКО не приходят?</w:t>
      </w:r>
    </w:p>
    <w:p w:rsidR="00C739BB" w:rsidRDefault="008C46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Поскольку лицевой счет создается исходя из данных, которые предоставляет регоператору собствен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ник помещения, то в случаях, когда счета на оплату не приходят, необходимо обратиться контактный центр “РТ-НЭО Иркутск” - 8 (3952) 43-44-11. Отсутствие квитанций в почтовом ящике - не причина, по которой можно не оплачивать услугу. Услуга оказывается всем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жителям населенного пункта, а значит платить за нее придется с момента начала её оказания. Лучше вносить платежи ежемесячно, чтобы не формировался долг на лицевом счете. </w:t>
      </w:r>
    </w:p>
    <w:p w:rsidR="00C739BB" w:rsidRDefault="00C739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39BB" w:rsidRDefault="008C46D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Как оплатить услугу по обращению с ТКО?</w:t>
      </w:r>
    </w:p>
    <w:p w:rsidR="00C739BB" w:rsidRDefault="008C46D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Информацию о состоянии лицевого счета можно </w:t>
      </w:r>
      <w:r>
        <w:rPr>
          <w:rFonts w:ascii="Times New Roman" w:eastAsia="Times New Roman" w:hAnsi="Times New Roman" w:cs="Times New Roman"/>
          <w:sz w:val="24"/>
          <w:szCs w:val="24"/>
        </w:rPr>
        <w:t>узнать:</w:t>
      </w:r>
    </w:p>
    <w:p w:rsidR="00C739BB" w:rsidRDefault="008C46D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в личном кабинете “РТ-НЭО Иркутск”, </w:t>
      </w:r>
    </w:p>
    <w:p w:rsidR="00C739BB" w:rsidRDefault="008C46D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в платежных документах, </w:t>
      </w:r>
    </w:p>
    <w:p w:rsidR="00C739BB" w:rsidRDefault="008C46D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по телефону горячей линии, </w:t>
      </w:r>
    </w:p>
    <w:p w:rsidR="00C739BB" w:rsidRDefault="008C46D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по электронной почте. </w:t>
      </w:r>
    </w:p>
    <w:p w:rsidR="00C739BB" w:rsidRDefault="008C46D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Оплатить услуги по обращению с ТКО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БЕЗ КОМИССИЙ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можно </w:t>
      </w:r>
      <w:hyperlink r:id="rId8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в личном кабинете на сай</w:t>
        </w:r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те “РТ-НЭО Иркутск”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39BB" w:rsidRDefault="00C739B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39BB" w:rsidRDefault="008C46D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того, чтобы избежать судебных разбирательств и наложения ареста на имущество необходимо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полностью погасить основную задолженность и получить скидку на пени или з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аключить соглашение об урегулировании задолженности с рассрочкой до одного года.</w:t>
      </w:r>
    </w:p>
    <w:p w:rsidR="00C739BB" w:rsidRDefault="00C739BB">
      <w:pPr>
        <w:keepNext/>
        <w:keepLines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739BB" w:rsidRDefault="008C46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Как связаться с региональным оператором?</w:t>
      </w:r>
    </w:p>
    <w:p w:rsidR="00C739BB" w:rsidRDefault="008C46D4">
      <w:pPr>
        <w:numPr>
          <w:ilvl w:val="0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через обращение в личном кабинете: lk.rtneo-irk.ru</w:t>
      </w:r>
    </w:p>
    <w:p w:rsidR="00C739BB" w:rsidRDefault="008C46D4">
      <w:pPr>
        <w:numPr>
          <w:ilvl w:val="0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по почте: contact@rtneo-irk.ru</w:t>
      </w:r>
    </w:p>
    <w:p w:rsidR="00C739BB" w:rsidRDefault="008C46D4">
      <w:pPr>
        <w:numPr>
          <w:ilvl w:val="0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телефону горячей линии: 8 (3952) 43-44-11</w:t>
      </w:r>
    </w:p>
    <w:p w:rsidR="00C739BB" w:rsidRDefault="008C46D4">
      <w:pPr>
        <w:numPr>
          <w:ilvl w:val="0"/>
          <w:numId w:val="1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через </w:t>
      </w:r>
      <w:r>
        <w:rPr>
          <w:rFonts w:ascii="Times New Roman" w:eastAsia="Times New Roman" w:hAnsi="Times New Roman" w:cs="Times New Roman"/>
          <w:sz w:val="24"/>
          <w:szCs w:val="24"/>
        </w:rPr>
        <w:t>виджеты на сайте: rtneo-irk.ru</w:t>
      </w:r>
    </w:p>
    <w:p w:rsidR="00C739BB" w:rsidRDefault="00C739B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39BB" w:rsidRDefault="00C739BB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C739BB" w:rsidRDefault="00C739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39BB" w:rsidRDefault="008C46D4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30"/>
          <w:szCs w:val="30"/>
          <w:highlight w:val="yellow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ООО “РТ-НЭО Иркутск” 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</w:p>
    <w:p w:rsidR="00C739BB" w:rsidRDefault="00C739BB">
      <w:pPr>
        <w:spacing w:line="240" w:lineRule="auto"/>
        <w:rPr>
          <w:rFonts w:ascii="Times New Roman" w:eastAsia="Times New Roman" w:hAnsi="Times New Roman" w:cs="Times New Roman"/>
          <w:b/>
          <w:sz w:val="30"/>
          <w:szCs w:val="30"/>
          <w:highlight w:val="yellow"/>
        </w:rPr>
      </w:pPr>
    </w:p>
    <w:p w:rsidR="00C739BB" w:rsidRDefault="00C739BB">
      <w:pPr>
        <w:spacing w:line="240" w:lineRule="auto"/>
        <w:rPr>
          <w:rFonts w:ascii="Times New Roman" w:eastAsia="Times New Roman" w:hAnsi="Times New Roman" w:cs="Times New Roman"/>
          <w:sz w:val="30"/>
          <w:szCs w:val="30"/>
          <w:highlight w:val="yellow"/>
        </w:rPr>
      </w:pPr>
    </w:p>
    <w:p w:rsidR="00C739BB" w:rsidRDefault="00C739BB">
      <w:pPr>
        <w:spacing w:line="240" w:lineRule="auto"/>
        <w:rPr>
          <w:rFonts w:ascii="Times New Roman" w:eastAsia="Times New Roman" w:hAnsi="Times New Roman" w:cs="Times New Roman"/>
          <w:b/>
          <w:sz w:val="30"/>
          <w:szCs w:val="30"/>
          <w:highlight w:val="yellow"/>
        </w:rPr>
      </w:pPr>
    </w:p>
    <w:p w:rsidR="00C739BB" w:rsidRDefault="00C739BB">
      <w:pPr>
        <w:spacing w:line="240" w:lineRule="auto"/>
        <w:rPr>
          <w:rFonts w:ascii="Times New Roman" w:eastAsia="Times New Roman" w:hAnsi="Times New Roman" w:cs="Times New Roman"/>
          <w:b/>
          <w:sz w:val="30"/>
          <w:szCs w:val="30"/>
          <w:highlight w:val="yellow"/>
        </w:rPr>
      </w:pPr>
    </w:p>
    <w:p w:rsidR="00C739BB" w:rsidRDefault="00C739BB">
      <w:pPr>
        <w:spacing w:line="240" w:lineRule="auto"/>
        <w:rPr>
          <w:rFonts w:ascii="Times New Roman" w:eastAsia="Times New Roman" w:hAnsi="Times New Roman" w:cs="Times New Roman"/>
          <w:b/>
          <w:sz w:val="30"/>
          <w:szCs w:val="30"/>
          <w:highlight w:val="yellow"/>
        </w:rPr>
      </w:pPr>
    </w:p>
    <w:p w:rsidR="00C739BB" w:rsidRDefault="00C739BB">
      <w:pPr>
        <w:spacing w:line="240" w:lineRule="auto"/>
        <w:rPr>
          <w:rFonts w:ascii="Times New Roman" w:eastAsia="Times New Roman" w:hAnsi="Times New Roman" w:cs="Times New Roman"/>
          <w:b/>
          <w:sz w:val="30"/>
          <w:szCs w:val="30"/>
          <w:highlight w:val="yellow"/>
        </w:rPr>
      </w:pPr>
    </w:p>
    <w:p w:rsidR="00C739BB" w:rsidRDefault="00C739BB">
      <w:pPr>
        <w:spacing w:line="240" w:lineRule="auto"/>
        <w:rPr>
          <w:rFonts w:ascii="Times New Roman" w:eastAsia="Times New Roman" w:hAnsi="Times New Roman" w:cs="Times New Roman"/>
          <w:b/>
          <w:sz w:val="30"/>
          <w:szCs w:val="30"/>
          <w:highlight w:val="yellow"/>
        </w:rPr>
      </w:pPr>
    </w:p>
    <w:p w:rsidR="00C739BB" w:rsidRDefault="00C739BB">
      <w:pPr>
        <w:spacing w:line="240" w:lineRule="auto"/>
        <w:rPr>
          <w:rFonts w:ascii="Times New Roman" w:eastAsia="Times New Roman" w:hAnsi="Times New Roman" w:cs="Times New Roman"/>
          <w:b/>
          <w:sz w:val="30"/>
          <w:szCs w:val="30"/>
          <w:highlight w:val="yellow"/>
        </w:rPr>
      </w:pPr>
    </w:p>
    <w:p w:rsidR="00C739BB" w:rsidRDefault="00C739BB">
      <w:pPr>
        <w:spacing w:line="240" w:lineRule="auto"/>
        <w:rPr>
          <w:rFonts w:ascii="Times New Roman" w:eastAsia="Times New Roman" w:hAnsi="Times New Roman" w:cs="Times New Roman"/>
          <w:b/>
          <w:sz w:val="30"/>
          <w:szCs w:val="30"/>
          <w:highlight w:val="yellow"/>
        </w:rPr>
      </w:pPr>
    </w:p>
    <w:p w:rsidR="00C739BB" w:rsidRDefault="00C739BB">
      <w:pPr>
        <w:spacing w:line="240" w:lineRule="auto"/>
        <w:rPr>
          <w:rFonts w:ascii="Times New Roman" w:eastAsia="Times New Roman" w:hAnsi="Times New Roman" w:cs="Times New Roman"/>
          <w:b/>
          <w:sz w:val="30"/>
          <w:szCs w:val="30"/>
          <w:highlight w:val="yellow"/>
        </w:rPr>
      </w:pPr>
    </w:p>
    <w:p w:rsidR="00C739BB" w:rsidRDefault="00C739BB">
      <w:pPr>
        <w:spacing w:line="240" w:lineRule="auto"/>
        <w:rPr>
          <w:rFonts w:ascii="Times New Roman" w:eastAsia="Times New Roman" w:hAnsi="Times New Roman" w:cs="Times New Roman"/>
          <w:b/>
          <w:sz w:val="30"/>
          <w:szCs w:val="30"/>
          <w:highlight w:val="yellow"/>
        </w:rPr>
      </w:pPr>
    </w:p>
    <w:p w:rsidR="00C739BB" w:rsidRDefault="00C739BB">
      <w:pPr>
        <w:spacing w:line="240" w:lineRule="auto"/>
        <w:rPr>
          <w:rFonts w:ascii="Times New Roman" w:eastAsia="Times New Roman" w:hAnsi="Times New Roman" w:cs="Times New Roman"/>
          <w:b/>
          <w:sz w:val="30"/>
          <w:szCs w:val="30"/>
          <w:highlight w:val="yellow"/>
        </w:rPr>
      </w:pPr>
    </w:p>
    <w:p w:rsidR="00C739BB" w:rsidRDefault="00C739BB">
      <w:pPr>
        <w:spacing w:line="240" w:lineRule="auto"/>
        <w:rPr>
          <w:rFonts w:ascii="Times New Roman" w:eastAsia="Times New Roman" w:hAnsi="Times New Roman" w:cs="Times New Roman"/>
          <w:b/>
          <w:sz w:val="30"/>
          <w:szCs w:val="30"/>
          <w:highlight w:val="yellow"/>
        </w:rPr>
      </w:pPr>
    </w:p>
    <w:p w:rsidR="00C739BB" w:rsidRDefault="00C739BB">
      <w:pPr>
        <w:spacing w:line="240" w:lineRule="auto"/>
        <w:rPr>
          <w:rFonts w:ascii="Times New Roman" w:eastAsia="Times New Roman" w:hAnsi="Times New Roman" w:cs="Times New Roman"/>
          <w:b/>
          <w:sz w:val="30"/>
          <w:szCs w:val="30"/>
          <w:highlight w:val="yellow"/>
        </w:rPr>
      </w:pPr>
    </w:p>
    <w:p w:rsidR="00C739BB" w:rsidRDefault="00C739BB">
      <w:pPr>
        <w:spacing w:line="240" w:lineRule="auto"/>
        <w:rPr>
          <w:rFonts w:ascii="Times New Roman" w:eastAsia="Times New Roman" w:hAnsi="Times New Roman" w:cs="Times New Roman"/>
          <w:b/>
          <w:sz w:val="30"/>
          <w:szCs w:val="30"/>
          <w:highlight w:val="yellow"/>
        </w:rPr>
      </w:pPr>
    </w:p>
    <w:p w:rsidR="00C739BB" w:rsidRDefault="00C739BB">
      <w:pPr>
        <w:spacing w:line="240" w:lineRule="auto"/>
        <w:rPr>
          <w:rFonts w:ascii="Times New Roman" w:eastAsia="Times New Roman" w:hAnsi="Times New Roman" w:cs="Times New Roman"/>
          <w:b/>
          <w:sz w:val="30"/>
          <w:szCs w:val="30"/>
          <w:highlight w:val="yellow"/>
        </w:rPr>
      </w:pPr>
    </w:p>
    <w:p w:rsidR="00C739BB" w:rsidRDefault="00C739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39BB" w:rsidRDefault="00C739B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39BB" w:rsidRDefault="00C739B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C739BB">
      <w:head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46D4" w:rsidRDefault="008C46D4">
      <w:pPr>
        <w:spacing w:line="240" w:lineRule="auto"/>
      </w:pPr>
      <w:r>
        <w:separator/>
      </w:r>
    </w:p>
  </w:endnote>
  <w:endnote w:type="continuationSeparator" w:id="0">
    <w:p w:rsidR="008C46D4" w:rsidRDefault="008C46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46D4" w:rsidRDefault="008C46D4">
      <w:pPr>
        <w:spacing w:line="240" w:lineRule="auto"/>
      </w:pPr>
      <w:r>
        <w:separator/>
      </w:r>
    </w:p>
  </w:footnote>
  <w:footnote w:type="continuationSeparator" w:id="0">
    <w:p w:rsidR="008C46D4" w:rsidRDefault="008C46D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39BB" w:rsidRDefault="008C46D4">
    <w:r>
      <w:rPr>
        <w:noProof/>
        <w:lang w:val="ru-RU"/>
      </w:rPr>
      <w:drawing>
        <wp:anchor distT="114300" distB="114300" distL="114300" distR="114300" simplePos="0" relativeHeight="251658240" behindDoc="1" locked="0" layoutInCell="1" hidden="0" allowOverlap="1">
          <wp:simplePos x="0" y="0"/>
          <wp:positionH relativeFrom="column">
            <wp:posOffset>-361949</wp:posOffset>
          </wp:positionH>
          <wp:positionV relativeFrom="paragraph">
            <wp:posOffset>-219074</wp:posOffset>
          </wp:positionV>
          <wp:extent cx="2344103" cy="945587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44103" cy="9455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739BB" w:rsidRDefault="00C739BB"/>
  <w:p w:rsidR="00C739BB" w:rsidRDefault="00C739BB"/>
  <w:p w:rsidR="00C739BB" w:rsidRDefault="00C739BB"/>
  <w:p w:rsidR="00C739BB" w:rsidRDefault="00C739B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6248C7"/>
    <w:multiLevelType w:val="multilevel"/>
    <w:tmpl w:val="A12A79B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744A17BB"/>
    <w:multiLevelType w:val="multilevel"/>
    <w:tmpl w:val="4FE454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9BB"/>
    <w:rsid w:val="001C088D"/>
    <w:rsid w:val="008C46D4"/>
    <w:rsid w:val="00C7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78A193-2DD3-436B-BE84-7EF4478C5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.rtneo-irk.ru/log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tneo-irk.ru/potrebiteli/tipovie-formi-dogovorov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916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Марченко</dc:creator>
  <cp:lastModifiedBy>Валентина Марченко</cp:lastModifiedBy>
  <cp:revision>2</cp:revision>
  <dcterms:created xsi:type="dcterms:W3CDTF">2023-10-25T00:06:00Z</dcterms:created>
  <dcterms:modified xsi:type="dcterms:W3CDTF">2023-10-25T00:06:00Z</dcterms:modified>
</cp:coreProperties>
</file>